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72" w:rsidRDefault="00F71653" w:rsidP="00F71653">
      <w:pPr>
        <w:jc w:val="center"/>
        <w:rPr>
          <w:b/>
          <w:sz w:val="24"/>
          <w:szCs w:val="24"/>
        </w:rPr>
      </w:pPr>
      <w:r w:rsidRPr="00F71653">
        <w:rPr>
          <w:b/>
          <w:sz w:val="24"/>
          <w:szCs w:val="24"/>
        </w:rPr>
        <w:t>Argumentationsliste – pro kleine Lern- o</w:t>
      </w:r>
      <w:r>
        <w:rPr>
          <w:b/>
          <w:sz w:val="24"/>
          <w:szCs w:val="24"/>
        </w:rPr>
        <w:t>der Fördergruppe an jeder Grund</w:t>
      </w:r>
      <w:r w:rsidRPr="00F71653">
        <w:rPr>
          <w:b/>
          <w:sz w:val="24"/>
          <w:szCs w:val="24"/>
        </w:rPr>
        <w:t>– oder Regelschule, wo es möglich ist (die es möchten)</w:t>
      </w:r>
    </w:p>
    <w:p w:rsidR="00F83F73" w:rsidRDefault="00F83F73" w:rsidP="00275675">
      <w:pPr>
        <w:rPr>
          <w:b/>
          <w:sz w:val="24"/>
          <w:szCs w:val="24"/>
        </w:rPr>
      </w:pPr>
    </w:p>
    <w:p w:rsidR="00F83F73" w:rsidRDefault="00F83F73" w:rsidP="00F71653">
      <w:pPr>
        <w:jc w:val="center"/>
        <w:rPr>
          <w:b/>
          <w:sz w:val="24"/>
          <w:szCs w:val="24"/>
        </w:rPr>
      </w:pPr>
      <w:r>
        <w:rPr>
          <w:b/>
          <w:sz w:val="24"/>
          <w:szCs w:val="24"/>
        </w:rPr>
        <w:t>Rechtliche Grundlagen:</w:t>
      </w:r>
    </w:p>
    <w:p w:rsidR="00F83F73" w:rsidRDefault="00F83F73" w:rsidP="00F71653">
      <w:pPr>
        <w:jc w:val="center"/>
        <w:rPr>
          <w:b/>
          <w:sz w:val="24"/>
          <w:szCs w:val="24"/>
        </w:rPr>
      </w:pPr>
    </w:p>
    <w:p w:rsidR="00E76E6F" w:rsidRDefault="00094A07" w:rsidP="00802E56">
      <w:pPr>
        <w:pStyle w:val="Listenabsatz"/>
        <w:numPr>
          <w:ilvl w:val="0"/>
          <w:numId w:val="1"/>
        </w:numPr>
        <w:spacing w:line="276" w:lineRule="auto"/>
        <w:rPr>
          <w:sz w:val="24"/>
          <w:szCs w:val="24"/>
        </w:rPr>
      </w:pPr>
      <w:r>
        <w:rPr>
          <w:sz w:val="24"/>
          <w:szCs w:val="24"/>
        </w:rPr>
        <w:t>Thüringer Schulgesetz §</w:t>
      </w:r>
      <w:r w:rsidR="00E76E6F">
        <w:rPr>
          <w:sz w:val="24"/>
          <w:szCs w:val="24"/>
        </w:rPr>
        <w:t xml:space="preserve">1 – jeder hat das Recht auf Bildung, Teilhabe und </w:t>
      </w:r>
      <w:r w:rsidR="00E76E6F" w:rsidRPr="00E76E6F">
        <w:rPr>
          <w:b/>
          <w:sz w:val="24"/>
          <w:szCs w:val="24"/>
        </w:rPr>
        <w:t>Förderung</w:t>
      </w:r>
      <w:r w:rsidR="00E76E6F">
        <w:rPr>
          <w:b/>
          <w:sz w:val="24"/>
          <w:szCs w:val="24"/>
        </w:rPr>
        <w:t xml:space="preserve"> </w:t>
      </w:r>
      <w:r w:rsidR="00E76E6F" w:rsidRPr="00E76E6F">
        <w:rPr>
          <w:sz w:val="24"/>
          <w:szCs w:val="24"/>
        </w:rPr>
        <w:t>(sowohl als</w:t>
      </w:r>
      <w:r w:rsidR="009A430E">
        <w:rPr>
          <w:sz w:val="24"/>
          <w:szCs w:val="24"/>
        </w:rPr>
        <w:t xml:space="preserve"> leistungsstarker als auch als s</w:t>
      </w:r>
      <w:r w:rsidR="00E76E6F" w:rsidRPr="00E76E6F">
        <w:rPr>
          <w:sz w:val="24"/>
          <w:szCs w:val="24"/>
        </w:rPr>
        <w:t>chwacher Schüler oder „Gutachtenkind“ – lässt dieser allgemeine § offen</w:t>
      </w:r>
      <w:r w:rsidR="00E76E6F">
        <w:rPr>
          <w:sz w:val="24"/>
          <w:szCs w:val="24"/>
        </w:rPr>
        <w:t xml:space="preserve">- </w:t>
      </w:r>
      <w:proofErr w:type="spellStart"/>
      <w:r w:rsidR="00E76E6F">
        <w:rPr>
          <w:sz w:val="24"/>
          <w:szCs w:val="24"/>
        </w:rPr>
        <w:t>d.R</w:t>
      </w:r>
      <w:proofErr w:type="spellEnd"/>
      <w:r w:rsidR="00E76E6F">
        <w:rPr>
          <w:sz w:val="24"/>
          <w:szCs w:val="24"/>
        </w:rPr>
        <w:t>.</w:t>
      </w:r>
      <w:r w:rsidR="00E76E6F" w:rsidRPr="00E76E6F">
        <w:rPr>
          <w:sz w:val="24"/>
          <w:szCs w:val="24"/>
        </w:rPr>
        <w:t>)</w:t>
      </w:r>
    </w:p>
    <w:p w:rsidR="00802E56" w:rsidRDefault="00802E56" w:rsidP="00802E56">
      <w:pPr>
        <w:pStyle w:val="Listenabsatz"/>
        <w:spacing w:line="276" w:lineRule="auto"/>
        <w:rPr>
          <w:sz w:val="24"/>
          <w:szCs w:val="24"/>
        </w:rPr>
      </w:pPr>
    </w:p>
    <w:p w:rsidR="00094A07" w:rsidRDefault="00094A07" w:rsidP="00802E56">
      <w:pPr>
        <w:pStyle w:val="Listenabsatz"/>
        <w:numPr>
          <w:ilvl w:val="0"/>
          <w:numId w:val="1"/>
        </w:numPr>
        <w:spacing w:line="276" w:lineRule="auto"/>
        <w:rPr>
          <w:sz w:val="24"/>
          <w:szCs w:val="24"/>
        </w:rPr>
      </w:pPr>
      <w:r>
        <w:rPr>
          <w:sz w:val="24"/>
          <w:szCs w:val="24"/>
        </w:rPr>
        <w:t xml:space="preserve">Thüringer Schulordnung §3 – jeder Schüler hat das Recht, seinen Fähigkeiten und seinen Neigungen </w:t>
      </w:r>
      <w:r w:rsidRPr="00410BFF">
        <w:rPr>
          <w:b/>
          <w:sz w:val="24"/>
          <w:szCs w:val="24"/>
        </w:rPr>
        <w:t>entsprechende Bildung und</w:t>
      </w:r>
      <w:r>
        <w:rPr>
          <w:sz w:val="24"/>
          <w:szCs w:val="24"/>
        </w:rPr>
        <w:t xml:space="preserve"> </w:t>
      </w:r>
      <w:r w:rsidRPr="00410BFF">
        <w:rPr>
          <w:b/>
          <w:sz w:val="24"/>
          <w:szCs w:val="24"/>
        </w:rPr>
        <w:t xml:space="preserve">Förderung </w:t>
      </w:r>
      <w:r>
        <w:rPr>
          <w:sz w:val="24"/>
          <w:szCs w:val="24"/>
        </w:rPr>
        <w:t>zu erhalten…</w:t>
      </w:r>
    </w:p>
    <w:p w:rsidR="00802E56" w:rsidRPr="00802E56" w:rsidRDefault="00802E56" w:rsidP="00802E56">
      <w:pPr>
        <w:spacing w:line="276" w:lineRule="auto"/>
        <w:rPr>
          <w:sz w:val="24"/>
          <w:szCs w:val="24"/>
        </w:rPr>
      </w:pPr>
    </w:p>
    <w:p w:rsidR="00410BFF" w:rsidRDefault="00410BFF" w:rsidP="00802E56">
      <w:pPr>
        <w:pStyle w:val="Listenabsatz"/>
        <w:numPr>
          <w:ilvl w:val="0"/>
          <w:numId w:val="1"/>
        </w:numPr>
        <w:spacing w:line="276" w:lineRule="auto"/>
        <w:rPr>
          <w:sz w:val="24"/>
          <w:szCs w:val="24"/>
        </w:rPr>
      </w:pPr>
      <w:r>
        <w:rPr>
          <w:sz w:val="24"/>
          <w:szCs w:val="24"/>
        </w:rPr>
        <w:t xml:space="preserve">Thüringer Verordnung zur sonderpädagogischen Förderung §9 Abs. 2(!)…sonderpädagogische </w:t>
      </w:r>
      <w:r w:rsidRPr="00410BFF">
        <w:rPr>
          <w:b/>
          <w:sz w:val="24"/>
          <w:szCs w:val="24"/>
        </w:rPr>
        <w:t>Förderung</w:t>
      </w:r>
      <w:r>
        <w:rPr>
          <w:sz w:val="24"/>
          <w:szCs w:val="24"/>
        </w:rPr>
        <w:t xml:space="preserve"> erfolgt auch durch differenzierende Maßnahmen… in Einzel-, Gruppen- oder Klassenunterricht</w:t>
      </w:r>
    </w:p>
    <w:p w:rsidR="00802E56" w:rsidRPr="00802E56" w:rsidRDefault="00802E56" w:rsidP="00802E56">
      <w:pPr>
        <w:spacing w:line="276" w:lineRule="auto"/>
        <w:rPr>
          <w:sz w:val="24"/>
          <w:szCs w:val="24"/>
        </w:rPr>
      </w:pPr>
    </w:p>
    <w:p w:rsidR="00410BFF" w:rsidRDefault="00410BFF" w:rsidP="00802E56">
      <w:pPr>
        <w:pStyle w:val="Listenabsatz"/>
        <w:numPr>
          <w:ilvl w:val="0"/>
          <w:numId w:val="1"/>
        </w:numPr>
        <w:spacing w:line="276" w:lineRule="auto"/>
        <w:rPr>
          <w:sz w:val="24"/>
          <w:szCs w:val="24"/>
        </w:rPr>
      </w:pPr>
      <w:r>
        <w:rPr>
          <w:sz w:val="24"/>
          <w:szCs w:val="24"/>
        </w:rPr>
        <w:t xml:space="preserve">Praxisrichtlinien für den GU vom TMBWK (2014), S. 28 wiederholt und unterstreicht die Bedeutung §9 Abs. 2 der </w:t>
      </w:r>
      <w:proofErr w:type="spellStart"/>
      <w:r>
        <w:rPr>
          <w:sz w:val="24"/>
          <w:szCs w:val="24"/>
        </w:rPr>
        <w:t>ThürVerord</w:t>
      </w:r>
      <w:proofErr w:type="spellEnd"/>
      <w:r>
        <w:rPr>
          <w:sz w:val="24"/>
          <w:szCs w:val="24"/>
        </w:rPr>
        <w:t xml:space="preserve"> zur </w:t>
      </w:r>
      <w:proofErr w:type="spellStart"/>
      <w:r>
        <w:rPr>
          <w:sz w:val="24"/>
          <w:szCs w:val="24"/>
        </w:rPr>
        <w:t>sonderpädFö</w:t>
      </w:r>
      <w:proofErr w:type="spellEnd"/>
    </w:p>
    <w:p w:rsidR="00802E56" w:rsidRDefault="00410BFF" w:rsidP="00802E56">
      <w:pPr>
        <w:pStyle w:val="Listenabsatz"/>
        <w:spacing w:line="276" w:lineRule="auto"/>
        <w:rPr>
          <w:sz w:val="24"/>
          <w:szCs w:val="24"/>
        </w:rPr>
      </w:pPr>
      <w:r>
        <w:rPr>
          <w:sz w:val="24"/>
          <w:szCs w:val="24"/>
        </w:rPr>
        <w:t>(</w:t>
      </w:r>
      <w:r w:rsidRPr="00410BFF">
        <w:rPr>
          <w:b/>
          <w:sz w:val="24"/>
          <w:szCs w:val="24"/>
        </w:rPr>
        <w:t xml:space="preserve">Förderung </w:t>
      </w:r>
      <w:r>
        <w:rPr>
          <w:sz w:val="24"/>
          <w:szCs w:val="24"/>
        </w:rPr>
        <w:t>in z.B. Gruppen als äußere Differenzierung im GU)</w:t>
      </w:r>
    </w:p>
    <w:p w:rsidR="00802E56" w:rsidRPr="00802E56" w:rsidRDefault="00802E56" w:rsidP="00802E56">
      <w:pPr>
        <w:pStyle w:val="Listenabsatz"/>
        <w:spacing w:line="276" w:lineRule="auto"/>
        <w:rPr>
          <w:sz w:val="24"/>
          <w:szCs w:val="24"/>
        </w:rPr>
      </w:pPr>
    </w:p>
    <w:p w:rsidR="00410BFF" w:rsidRDefault="00410BFF" w:rsidP="00802E56">
      <w:pPr>
        <w:pStyle w:val="Listenabsatz"/>
        <w:numPr>
          <w:ilvl w:val="0"/>
          <w:numId w:val="1"/>
        </w:numPr>
        <w:spacing w:line="276" w:lineRule="auto"/>
        <w:rPr>
          <w:sz w:val="24"/>
          <w:szCs w:val="24"/>
        </w:rPr>
      </w:pPr>
      <w:r>
        <w:rPr>
          <w:sz w:val="24"/>
          <w:szCs w:val="24"/>
        </w:rPr>
        <w:t xml:space="preserve">Thüringer Förderschulgesetz §3 zum MSD – Aufgabe: </w:t>
      </w:r>
      <w:r w:rsidRPr="00410BFF">
        <w:rPr>
          <w:b/>
          <w:sz w:val="24"/>
          <w:szCs w:val="24"/>
        </w:rPr>
        <w:t>Förderung</w:t>
      </w:r>
      <w:r>
        <w:rPr>
          <w:sz w:val="24"/>
          <w:szCs w:val="24"/>
        </w:rPr>
        <w:t xml:space="preserve"> am angestammten Lernort zu ermöglichen – wie bleibt offen…</w:t>
      </w:r>
    </w:p>
    <w:p w:rsidR="00802E56" w:rsidRPr="00802E56" w:rsidRDefault="00802E56" w:rsidP="00802E56">
      <w:pPr>
        <w:spacing w:line="276" w:lineRule="auto"/>
        <w:ind w:left="360"/>
        <w:rPr>
          <w:sz w:val="24"/>
          <w:szCs w:val="24"/>
        </w:rPr>
      </w:pPr>
    </w:p>
    <w:p w:rsidR="00AA4EF4" w:rsidRDefault="00AA4EF4" w:rsidP="00802E56">
      <w:pPr>
        <w:pStyle w:val="Listenabsatz"/>
        <w:numPr>
          <w:ilvl w:val="0"/>
          <w:numId w:val="1"/>
        </w:numPr>
        <w:spacing w:line="276" w:lineRule="auto"/>
        <w:rPr>
          <w:sz w:val="24"/>
          <w:szCs w:val="24"/>
        </w:rPr>
      </w:pPr>
      <w:r>
        <w:rPr>
          <w:sz w:val="24"/>
          <w:szCs w:val="24"/>
        </w:rPr>
        <w:t xml:space="preserve">Leitlinien für Schüler mit </w:t>
      </w:r>
      <w:proofErr w:type="spellStart"/>
      <w:r>
        <w:rPr>
          <w:sz w:val="24"/>
          <w:szCs w:val="24"/>
        </w:rPr>
        <w:t>esE</w:t>
      </w:r>
      <w:proofErr w:type="spellEnd"/>
      <w:r>
        <w:rPr>
          <w:sz w:val="24"/>
          <w:szCs w:val="24"/>
        </w:rPr>
        <w:t xml:space="preserve"> Gutachten (und komplexen anderen Problemen – Lernen und Verhalten hängen zusammen)</w:t>
      </w:r>
      <w:r w:rsidR="004558DA">
        <w:rPr>
          <w:sz w:val="24"/>
          <w:szCs w:val="24"/>
        </w:rPr>
        <w:t xml:space="preserve"> S. 19 Etablierung einer zeitlich begrenzten </w:t>
      </w:r>
      <w:r w:rsidR="004558DA" w:rsidRPr="004558DA">
        <w:rPr>
          <w:b/>
          <w:sz w:val="24"/>
          <w:szCs w:val="24"/>
        </w:rPr>
        <w:t>Fördergruppe</w:t>
      </w:r>
      <w:r w:rsidR="004558DA">
        <w:rPr>
          <w:sz w:val="24"/>
          <w:szCs w:val="24"/>
        </w:rPr>
        <w:t xml:space="preserve"> möglich</w:t>
      </w:r>
    </w:p>
    <w:p w:rsidR="00F83F73" w:rsidRPr="00F83F73" w:rsidRDefault="00F83F73" w:rsidP="00F83F73">
      <w:pPr>
        <w:pStyle w:val="Listenabsatz"/>
        <w:rPr>
          <w:sz w:val="24"/>
          <w:szCs w:val="24"/>
        </w:rPr>
      </w:pPr>
    </w:p>
    <w:p w:rsidR="00F83F73" w:rsidRDefault="00622B62" w:rsidP="00F83F73">
      <w:pPr>
        <w:spacing w:line="276" w:lineRule="auto"/>
        <w:rPr>
          <w:sz w:val="24"/>
          <w:szCs w:val="24"/>
        </w:rPr>
      </w:pPr>
      <w:r>
        <w:rPr>
          <w:sz w:val="24"/>
          <w:szCs w:val="24"/>
        </w:rPr>
        <w:t xml:space="preserve">Amtsträger </w:t>
      </w:r>
      <w:r w:rsidR="00F83F73">
        <w:rPr>
          <w:sz w:val="24"/>
          <w:szCs w:val="24"/>
        </w:rPr>
        <w:t>oder andere am Bildungs- und Erziehungsprozess Beteiligte, die die Bildung kleiner Fördergruppen an den Schulen unterbinden, unterbinden wollen, den Akteuren Steine in den Weg legen, leugnen die positiven Erfahrungen solcher Kleingruppen, missachten das Engagement der Kollegen vor Ort oder haben gelinde g</w:t>
      </w:r>
      <w:r>
        <w:rPr>
          <w:sz w:val="24"/>
          <w:szCs w:val="24"/>
        </w:rPr>
        <w:t>esagt wenig Bezug zum schulischen Alltag</w:t>
      </w:r>
      <w:bookmarkStart w:id="0" w:name="_GoBack"/>
      <w:bookmarkEnd w:id="0"/>
      <w:r w:rsidR="00F83F73">
        <w:rPr>
          <w:sz w:val="24"/>
          <w:szCs w:val="24"/>
        </w:rPr>
        <w:t>!</w:t>
      </w:r>
      <w:r w:rsidR="009A430E">
        <w:rPr>
          <w:sz w:val="24"/>
          <w:szCs w:val="24"/>
        </w:rPr>
        <w:t xml:space="preserve"> Stolle</w:t>
      </w:r>
    </w:p>
    <w:p w:rsidR="00F83F73" w:rsidRDefault="00F83F73" w:rsidP="00F83F73">
      <w:pPr>
        <w:spacing w:line="276" w:lineRule="auto"/>
        <w:rPr>
          <w:sz w:val="24"/>
          <w:szCs w:val="24"/>
        </w:rPr>
      </w:pPr>
    </w:p>
    <w:p w:rsidR="00F83F73" w:rsidRPr="00F83F73" w:rsidRDefault="00275675" w:rsidP="00F83F73">
      <w:pPr>
        <w:spacing w:line="276" w:lineRule="auto"/>
        <w:rPr>
          <w:b/>
          <w:sz w:val="24"/>
          <w:szCs w:val="24"/>
        </w:rPr>
      </w:pPr>
      <w:r>
        <w:rPr>
          <w:b/>
          <w:sz w:val="24"/>
          <w:szCs w:val="24"/>
        </w:rPr>
        <w:t xml:space="preserve">EINIGE Anmerkungen </w:t>
      </w:r>
      <w:r w:rsidR="00F83F73" w:rsidRPr="00F83F73">
        <w:rPr>
          <w:b/>
          <w:sz w:val="24"/>
          <w:szCs w:val="24"/>
        </w:rPr>
        <w:t xml:space="preserve">zum Thema: </w:t>
      </w:r>
    </w:p>
    <w:p w:rsidR="00F83F73" w:rsidRDefault="00F526C2" w:rsidP="00F83F73">
      <w:pPr>
        <w:pStyle w:val="Listenabsatz"/>
        <w:numPr>
          <w:ilvl w:val="0"/>
          <w:numId w:val="2"/>
        </w:numPr>
        <w:spacing w:line="276" w:lineRule="auto"/>
        <w:rPr>
          <w:sz w:val="24"/>
          <w:szCs w:val="24"/>
        </w:rPr>
      </w:pPr>
      <w:r>
        <w:rPr>
          <w:sz w:val="24"/>
          <w:szCs w:val="24"/>
        </w:rPr>
        <w:t xml:space="preserve">Prof. </w:t>
      </w:r>
      <w:proofErr w:type="spellStart"/>
      <w:r>
        <w:rPr>
          <w:sz w:val="24"/>
          <w:szCs w:val="24"/>
        </w:rPr>
        <w:t>Türcke</w:t>
      </w:r>
      <w:proofErr w:type="spellEnd"/>
      <w:r>
        <w:rPr>
          <w:sz w:val="24"/>
          <w:szCs w:val="24"/>
        </w:rPr>
        <w:t xml:space="preserve"> im Buch „Lehrerdämmerung“ – Menschen lernen durch Nachahmung. „Fördern ohne Zeigen ist Unsinn!“ </w:t>
      </w:r>
    </w:p>
    <w:p w:rsidR="00F526C2" w:rsidRDefault="00F526C2" w:rsidP="00F83F73">
      <w:pPr>
        <w:pStyle w:val="Listenabsatz"/>
        <w:numPr>
          <w:ilvl w:val="0"/>
          <w:numId w:val="2"/>
        </w:numPr>
        <w:spacing w:line="276" w:lineRule="auto"/>
        <w:rPr>
          <w:sz w:val="24"/>
          <w:szCs w:val="24"/>
        </w:rPr>
      </w:pPr>
      <w:r>
        <w:rPr>
          <w:sz w:val="24"/>
          <w:szCs w:val="24"/>
        </w:rPr>
        <w:t xml:space="preserve">DAS geht in einer kleinen Gruppe in den Hauptfächern besser als Schüler </w:t>
      </w:r>
      <w:r w:rsidR="00275675">
        <w:rPr>
          <w:sz w:val="24"/>
          <w:szCs w:val="24"/>
        </w:rPr>
        <w:t xml:space="preserve">mit Gutachten </w:t>
      </w:r>
      <w:r>
        <w:rPr>
          <w:sz w:val="24"/>
          <w:szCs w:val="24"/>
        </w:rPr>
        <w:t>in Mathe und Deutsch in großen Klassen zu überfordern. Stolle</w:t>
      </w:r>
    </w:p>
    <w:p w:rsidR="00F526C2" w:rsidRPr="00605501" w:rsidRDefault="00F526C2" w:rsidP="00F83F73">
      <w:pPr>
        <w:pStyle w:val="Listenabsatz"/>
        <w:numPr>
          <w:ilvl w:val="0"/>
          <w:numId w:val="2"/>
        </w:numPr>
        <w:spacing w:line="276" w:lineRule="auto"/>
        <w:rPr>
          <w:sz w:val="24"/>
          <w:szCs w:val="24"/>
        </w:rPr>
      </w:pPr>
      <w:r>
        <w:rPr>
          <w:sz w:val="24"/>
          <w:szCs w:val="24"/>
        </w:rPr>
        <w:t>Prof. Becker Bochum im Buch Inklusionslüge: „</w:t>
      </w:r>
      <w:r w:rsidRPr="00F526C2">
        <w:rPr>
          <w:rFonts w:eastAsiaTheme="minorEastAsia" w:hAnsi="Arial"/>
          <w:bCs/>
          <w:color w:val="000000" w:themeColor="text1"/>
          <w:kern w:val="24"/>
          <w:sz w:val="24"/>
          <w:szCs w:val="24"/>
        </w:rPr>
        <w:t>Die hohe Moralit</w:t>
      </w:r>
      <w:r w:rsidRPr="00F526C2">
        <w:rPr>
          <w:rFonts w:eastAsiaTheme="minorEastAsia" w:hAnsi="Arial"/>
          <w:bCs/>
          <w:color w:val="000000" w:themeColor="text1"/>
          <w:kern w:val="24"/>
          <w:sz w:val="24"/>
          <w:szCs w:val="24"/>
        </w:rPr>
        <w:t>ä</w:t>
      </w:r>
      <w:r w:rsidRPr="00F526C2">
        <w:rPr>
          <w:rFonts w:eastAsiaTheme="minorEastAsia" w:hAnsi="Arial"/>
          <w:bCs/>
          <w:color w:val="000000" w:themeColor="text1"/>
          <w:kern w:val="24"/>
          <w:sz w:val="24"/>
          <w:szCs w:val="24"/>
        </w:rPr>
        <w:t>t der Inklusionsdebatte immunisiert gegen Kritik</w:t>
      </w:r>
      <w:r>
        <w:rPr>
          <w:rFonts w:eastAsiaTheme="minorEastAsia" w:hAnsi="Arial"/>
          <w:bCs/>
          <w:color w:val="000000" w:themeColor="text1"/>
          <w:kern w:val="24"/>
          <w:sz w:val="24"/>
          <w:szCs w:val="24"/>
        </w:rPr>
        <w:t>“</w:t>
      </w:r>
      <w:r>
        <w:rPr>
          <w:rFonts w:eastAsiaTheme="minorEastAsia" w:hAnsi="Arial"/>
          <w:bCs/>
          <w:color w:val="000000" w:themeColor="text1"/>
          <w:kern w:val="24"/>
          <w:sz w:val="24"/>
          <w:szCs w:val="24"/>
        </w:rPr>
        <w:t xml:space="preserve"> (S. 12)</w:t>
      </w:r>
    </w:p>
    <w:p w:rsidR="00605501" w:rsidRPr="00275675" w:rsidRDefault="00605501" w:rsidP="00605501">
      <w:pPr>
        <w:pStyle w:val="Listenabsatz"/>
        <w:spacing w:line="276" w:lineRule="auto"/>
        <w:rPr>
          <w:sz w:val="24"/>
          <w:szCs w:val="24"/>
        </w:rPr>
      </w:pPr>
    </w:p>
    <w:p w:rsidR="00275675" w:rsidRPr="00275675" w:rsidRDefault="00275675" w:rsidP="00275675">
      <w:pPr>
        <w:pStyle w:val="Listenabsatz"/>
        <w:spacing w:line="276" w:lineRule="auto"/>
        <w:jc w:val="right"/>
        <w:rPr>
          <w:i/>
          <w:sz w:val="20"/>
          <w:szCs w:val="20"/>
        </w:rPr>
      </w:pPr>
      <w:r>
        <w:rPr>
          <w:rFonts w:eastAsiaTheme="minorEastAsia" w:hAnsi="Arial"/>
          <w:bCs/>
          <w:i/>
          <w:color w:val="000000" w:themeColor="text1"/>
          <w:kern w:val="24"/>
          <w:sz w:val="20"/>
          <w:szCs w:val="20"/>
        </w:rPr>
        <w:t xml:space="preserve">Annegret Stolle, Fachberaterin </w:t>
      </w:r>
      <w:proofErr w:type="spellStart"/>
      <w:r>
        <w:rPr>
          <w:rFonts w:eastAsiaTheme="minorEastAsia" w:hAnsi="Arial"/>
          <w:bCs/>
          <w:i/>
          <w:color w:val="000000" w:themeColor="text1"/>
          <w:kern w:val="24"/>
          <w:sz w:val="20"/>
          <w:szCs w:val="20"/>
        </w:rPr>
        <w:t>esE</w:t>
      </w:r>
      <w:proofErr w:type="spellEnd"/>
      <w:r>
        <w:rPr>
          <w:rFonts w:eastAsiaTheme="minorEastAsia" w:hAnsi="Arial"/>
          <w:bCs/>
          <w:i/>
          <w:color w:val="000000" w:themeColor="text1"/>
          <w:kern w:val="24"/>
          <w:sz w:val="20"/>
          <w:szCs w:val="20"/>
        </w:rPr>
        <w:t xml:space="preserve"> - 2017</w:t>
      </w:r>
    </w:p>
    <w:sectPr w:rsidR="00275675" w:rsidRPr="00275675" w:rsidSect="000C60EA">
      <w:pgSz w:w="11906" w:h="16838"/>
      <w:pgMar w:top="709" w:right="1417" w:bottom="42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C5BB5"/>
    <w:multiLevelType w:val="hybridMultilevel"/>
    <w:tmpl w:val="A0C8A5DC"/>
    <w:lvl w:ilvl="0" w:tplc="219243C8">
      <w:start w:val="5"/>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552BB9"/>
    <w:multiLevelType w:val="hybridMultilevel"/>
    <w:tmpl w:val="38C40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53"/>
    <w:rsid w:val="00094A07"/>
    <w:rsid w:val="000C60EA"/>
    <w:rsid w:val="00147E32"/>
    <w:rsid w:val="00275675"/>
    <w:rsid w:val="00404F72"/>
    <w:rsid w:val="00410BFF"/>
    <w:rsid w:val="004558DA"/>
    <w:rsid w:val="00605501"/>
    <w:rsid w:val="00622B62"/>
    <w:rsid w:val="00802E56"/>
    <w:rsid w:val="009A430E"/>
    <w:rsid w:val="00AA4EF4"/>
    <w:rsid w:val="00E76E6F"/>
    <w:rsid w:val="00F526C2"/>
    <w:rsid w:val="00F71653"/>
    <w:rsid w:val="00F83F73"/>
    <w:rsid w:val="00FA5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7427"/>
  <w15:chartTrackingRefBased/>
  <w15:docId w15:val="{26F15A51-C055-47BC-B737-B2ED3EC2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FA5D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FA5D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A5DED"/>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FA5DED"/>
  </w:style>
  <w:style w:type="character" w:styleId="IntensiveHervorhebung">
    <w:name w:val="Intense Emphasis"/>
    <w:basedOn w:val="Absatz-Standardschriftart"/>
    <w:uiPriority w:val="21"/>
    <w:qFormat/>
    <w:rsid w:val="00FA5DED"/>
    <w:rPr>
      <w:b/>
      <w:bCs/>
      <w:i/>
      <w:iCs/>
      <w:color w:val="4F81BD" w:themeColor="accent1"/>
    </w:rPr>
  </w:style>
  <w:style w:type="paragraph" w:styleId="Listenabsatz">
    <w:name w:val="List Paragraph"/>
    <w:basedOn w:val="Standard"/>
    <w:uiPriority w:val="34"/>
    <w:qFormat/>
    <w:rsid w:val="00E76E6F"/>
    <w:pPr>
      <w:ind w:left="720"/>
      <w:contextualSpacing/>
    </w:pPr>
  </w:style>
  <w:style w:type="paragraph" w:styleId="Sprechblasentext">
    <w:name w:val="Balloon Text"/>
    <w:basedOn w:val="Standard"/>
    <w:link w:val="SprechblasentextZchn"/>
    <w:uiPriority w:val="99"/>
    <w:semiHidden/>
    <w:unhideWhenUsed/>
    <w:rsid w:val="000C60E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6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2017-05-10T17:57:00Z</cp:lastPrinted>
  <dcterms:created xsi:type="dcterms:W3CDTF">2017-05-10T17:22:00Z</dcterms:created>
  <dcterms:modified xsi:type="dcterms:W3CDTF">2017-05-10T18:50:00Z</dcterms:modified>
</cp:coreProperties>
</file>